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1c7d596299462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12374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STJEPANA RADIĆA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3.120.726,21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3.434.501,09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3.057.822,31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3.629.494,05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194.992,96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60.663,03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53.925,95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60.663,03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53.925,95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248.918,91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ovom izvještajnom razdoblju manjak prihoda iznosi 248.918,91.</w:t>
      </w:r>
    </w:p>
    <w:p>
      <w:r>
        <w:t xml:space="preserve">Manjak je veći u odnosu na prethodnu godinu radi ukidanja konta 193 preko kojega su se knjižile plaće, mat. rashodi i sl. za 12 mjesec, a od 2025g. plaće i ostali rashodi djelatnika za 12/2025 se prikazuju manjak prihoda za pokriće u slijedećem razdoblju..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inozemnih vlada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13.743,20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uplata Erasmus sredstava za 2025 g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4.007,94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7.935,66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198,0</w:t>
            </w:r>
          </w:p>
        </w:tc>
      </w:tr>
    </w:tbl>
    <w:p>
      <w:pPr>
        <w:spacing w:before="0" w:after="0"/>
      </w:pPr>
    </w:p>
    <w:p>
      <w:r>
        <w:t xml:space="preserve">Iznos od Dana kruha ( od Grada) koji će se koristiti za obnovu skupina.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357.282,09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445.860,56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124,8</w:t>
            </w:r>
          </w:p>
        </w:tc>
      </w:tr>
    </w:tbl>
    <w:p>
      <w:pPr>
        <w:spacing w:before="0" w:after="0"/>
      </w:pPr>
    </w:p>
    <w:p>
      <w:r>
        <w:t xml:space="preserve">Iznos od DNŽ za mat. rashode i sl. U  2025 g. smo dobili dodatna sredstva.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5.471,80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14.505,01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265,1</w:t>
            </w:r>
          </w:p>
        </w:tc>
      </w:tr>
    </w:tbl>
    <w:p>
      <w:pPr>
        <w:spacing w:before="0" w:after="0"/>
      </w:pPr>
    </w:p>
    <w:p>
      <w:r>
        <w:t xml:space="preserve">Iznos povećan u odnosu na preth. razdoblje jer smo imali Erasmus program pa su nastali dodatni troškovi za stručno usavršavanje.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805,0</w:t>
            </w:r>
          </w:p>
        </w:tc>
      </w:tr>
    </w:tbl>
    <w:p>
      <w:pPr>
        <w:spacing w:before="0" w:after="0"/>
      </w:pPr>
    </w:p>
    <w:p>
      <w:r>
        <w:t xml:space="preserve">servis i ugradnja sigurnosnih kamera uslijed pojačanih sigurnosnih mjera u školama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5.792,98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1572,4</w:t>
            </w:r>
          </w:p>
        </w:tc>
      </w:tr>
    </w:tbl>
    <w:p>
      <w:pPr>
        <w:spacing w:before="0" w:after="0"/>
      </w:pPr>
    </w:p>
    <w:p>
      <w:r>
        <w:t xml:space="preserve">Odlazak u 2025 na sistematski pregled djelatnika i stoga su povećani troškovi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27.620,90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51.567,64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186,7</w:t>
            </w:r>
          </w:p>
        </w:tc>
      </w:tr>
    </w:tbl>
    <w:p>
      <w:pPr>
        <w:spacing w:before="0" w:after="0"/>
      </w:pPr>
    </w:p>
    <w:p>
      <w:r>
        <w:t xml:space="preserve">razlika u stanju Ž-R jer smo dobili program Erasmus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3.062,50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287,3</w:t>
            </w:r>
          </w:p>
        </w:tc>
      </w:tr>
    </w:tbl>
    <w:p>
      <w:pPr>
        <w:spacing w:before="0" w:after="0"/>
      </w:pPr>
    </w:p>
    <w:p>
      <w:r>
        <w:t xml:space="preserve">Grad uplatio dodatna sredstva za rek. skupina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(šifre 1111 do 1114)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27.620,90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51.567,64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186,7</w:t>
            </w:r>
          </w:p>
        </w:tc>
      </w:tr>
    </w:tbl>
    <w:p>
      <w:pPr>
        <w:spacing w:before="0" w:after="0"/>
      </w:pPr>
    </w:p>
    <w:p>
      <w:r>
        <w:t xml:space="preserve">Stanje ž-r uvećano jer smo primili Erasmus sredstva, a i novac za povrat marendi će biti vraćen u slijedećem periodu.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258.866,47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Povećan iznos uslijed nove metodologije knjiženja 13 plaće, više se ne koristi konto 193, pa plaća iz 12/2025 se se prikazuje kao manjak prih. za pokriće u sl. razdoblju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257.890,63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Uslijed nove metodologije knjiženja 13 plaće, više se ne koristi konto 193, pa plaća iz 12/2025 se se prikazuje kao manjak prih. za pokriće u sl. razdoblju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26.587,49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-222.850,79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-838,2</w:t>
            </w:r>
          </w:p>
        </w:tc>
      </w:tr>
    </w:tbl>
    <w:p>
      <w:pPr>
        <w:spacing w:before="0" w:after="0"/>
      </w:pPr>
    </w:p>
    <w:p>
      <w:r>
        <w:t xml:space="preserve">Manjak uslijed nove metodologije knjiženja 13 plaće, više se ne koristi konto 193, pa plaća iz 12/2025 se se prikazuje kao manjak prih. za pokriće u sl. razdoblju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258.866,47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Uslijed nove metodologije knjiženja 13 plaće, više se ne koristi konto 193, pa plaća iz 12/2025 se se prikazuje kao manjak prih. za pokriće u sl. razdoblju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257.890,63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Povećani troškovi zbog ukidanja konta 193. pa se plaća za 12/2025 prikazuje kao manjak prihoda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258.866,47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povećani iznos se odnosi na plaću , mat. troškove i sl. djelatnicima za 12/2025 god. Više se ne koristi konto 193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35.514,69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proveden ispravak vrijednosti nef.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35.514,69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Prema Okružnici za 12/2025 u P_VRIO unesen je kao smanjenje, provedena ispravka vrijednosti građevinskih objekata i postrojenje i opreme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obaveza na kraju izvj. razdoblja je 0,00 €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9086f236614c34" /></Relationships>
</file>